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Внутрифирменный контроль закупочной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«Внутрифирменный контроль закупочной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«Внутрифирменный контроль закупочной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«Внутрифирменный контроль закупочной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рынка предмета закупок для государственных, муниципальных и корпоративных нужд</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экономические основы и особенности ценообразования на рынке по направлениям</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обобщать полученную информацию, статистически ее обрабатывать и формулировать аналитические выводы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владеть навыками составления заключения по результатам проведенного анализа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«Внутрифирменный контроль закупочной деятельности» относится к обязательной части, является дисциплиной Блока Б1. «Дисциплины (модули)». Модуль "Контроль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Мониторинг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профессиональной 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Риск в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Управление качеством закупок</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3"/>
        </w:trPr>
        <w:tc>
          <w:tcPr>
            <w:tcW w:w="3970" w:type="dxa"/>
          </w:tcPr>
          <w:p/>
        </w:tc>
        <w:tc>
          <w:tcPr>
            <w:tcW w:w="4679" w:type="dxa"/>
          </w:tcPr>
          <w:p/>
        </w:tc>
        <w:tc>
          <w:tcPr>
            <w:tcW w:w="993" w:type="dxa"/>
          </w:tcPr>
          <w:p/>
        </w:tc>
      </w:tr>
      <w:tr>
        <w:trPr>
          <w:trHeight w:hRule="exact" w:val="1121.75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9.17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системе закупочной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внутреннего контроля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внутренний контроль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системе закупочной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внутреннего контроля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внутренний контроль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Текущая контрольная деятельность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внутреннего контроля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системе закупочной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Нормативно-правовое регулирование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внутреннего контроля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Разграничение прав и ответственности субъектов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внутренний контроль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Текущая контрольная деятельность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сбора, обработки и передачи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внутреннего контроля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 системе закупочной деятельности организации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предмет, методы и характеристики внутреннего контроля. Концепция СОSO «Концептуальные основы внутреннего контроля», история возникновения и развитие. Закон Сарбейнкса –Оксли. Принципы построения эффективного внутреннего контроля. Организация внутреннего контроля деятельности экономических субъектов в Российской Федерации. Субъекты и объекты внутреннего контроля. Основные требования к организации внутреннего контроля. Контроль бизнес-процессов организации. Ключевые бизнес-процессы.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внутреннего контроля закупочной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создания системы внутреннего контроля (в дальнейшем СВК). Основные постулаты организации СВК. Этапы создания СВК. Основные требования к организации СВК. Модель жизненного цикла организации и уровни зрелости СВК. Компоненты системы внутреннего контроля и их характеристика. Взаимосвязь компонентов СВК. Основные элементы компонентов СВК. Принципы функционирования СВК. Границы СВК.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Риск-ориентированный внутренний контроль закупочной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в деятельности организации. Инструменты управления рисками. Виды риска в деятельности организации. Цели управления рисками. Мониторинг управления рисками. Системы оценки риска. Определение области повышенного риска. Методы оценки рисков и их анализ. Критерии оценки и построение карты рисков. Документирование выявленных рисков. Культура управления рисками.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 системе закупочной деятельности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внутреннего контроля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Риск-ориентированный внутренний контроль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Текущая контрольная деятельность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процедуры, типы и виды. Ключевые контрольные процедуры, их выявление и характеристика. Оценка дизайна контрольных процедур. Оценка операционной эффективности контрольных процедур. Выбор и разработка процедуры контроля технологий для достижения поставленных целей деятельности организации. Выбор и разработка контрольных процедур для снижения до приемлемого уровня, рисков препятствующие достижению целей.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внутреннего контроля закупочной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Непрерывные и/или периодические оценки компонентов системы внутреннего контроля. Цель мониторинга. Организация мероприятий по мониторингу эффективности внутреннего контроля. Отчет о проведённом мониторинге. Оценка недостатков внутреннего контроля организации. Взаимодействие с исполнительным руководством, советом директоров по результатам мониторинга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«Внутрифирменный контроль закупочной деятельности»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экономического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экономического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978-5-4488-0905-7,</w:t>
            </w:r>
            <w:r>
              <w:rPr/>
              <w:t xml:space="preserve"> </w:t>
            </w:r>
            <w:r>
              <w:rPr>
                <w:rFonts w:ascii="Times New Roman" w:hAnsi="Times New Roman" w:cs="Times New Roman"/>
                <w:color w:val="#000000"/>
                <w:sz w:val="24"/>
                <w:szCs w:val="24"/>
              </w:rPr>
              <w:t>978-5-4497-0746-8.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http://www.iprbookshop.ru/98667.html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978-5-907100-58-9.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http://www.iprbookshop.ru/94413.html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Злобин,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978-5-8265-2005-5.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http://www.iprbookshop.ru/92663.html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1.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83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2024-2025_ФГОС3++2024_Бак-ЗФО-ТД(ОиУЗД)(24)_plx_Внутрифирменный контроль закупочной деятельности</dc:title>
  <dc:creator>FastReport.NET</dc:creator>
</cp:coreProperties>
</file>